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32" w:rsidRDefault="00DC2732" w:rsidP="00DC2732">
      <w:pPr>
        <w:pStyle w:val="Header"/>
        <w:jc w:val="center"/>
      </w:pPr>
      <w:r>
        <w:rPr>
          <w:noProof/>
        </w:rPr>
        <w:drawing>
          <wp:inline distT="0" distB="0" distL="0" distR="0">
            <wp:extent cx="8382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32" w:rsidRDefault="00DC2732" w:rsidP="0053124C">
      <w:pPr>
        <w:pStyle w:val="Header"/>
        <w:spacing w:line="360" w:lineRule="auto"/>
      </w:pPr>
      <w:bookmarkStart w:id="0" w:name="_GoBack"/>
      <w:bookmarkEnd w:id="0"/>
    </w:p>
    <w:p w:rsidR="00DC2732" w:rsidRPr="0053124C" w:rsidRDefault="00DC2732" w:rsidP="0053124C">
      <w:pPr>
        <w:pStyle w:val="Header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124C">
        <w:rPr>
          <w:rFonts w:ascii="Arial" w:hAnsi="Arial" w:cs="Arial"/>
          <w:b/>
          <w:sz w:val="28"/>
          <w:szCs w:val="28"/>
          <w:u w:val="single"/>
        </w:rPr>
        <w:t>MARITIME ADMINISTRATION DEPARTMENT</w:t>
      </w:r>
    </w:p>
    <w:p w:rsidR="00DC2732" w:rsidRPr="0053124C" w:rsidRDefault="00DC2732" w:rsidP="0053124C">
      <w:pPr>
        <w:pStyle w:val="Header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3124C">
        <w:rPr>
          <w:rFonts w:ascii="Arial" w:hAnsi="Arial" w:cs="Arial"/>
          <w:b/>
          <w:sz w:val="28"/>
          <w:szCs w:val="28"/>
          <w:u w:val="single"/>
        </w:rPr>
        <w:t>PORT SECURITY SECTION</w:t>
      </w:r>
    </w:p>
    <w:p w:rsidR="00DC2732" w:rsidRPr="0053124C" w:rsidRDefault="00C37CC0" w:rsidP="0053124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ELEMENTS OF THE </w:t>
      </w:r>
      <w:r w:rsidR="00DC2732" w:rsidRPr="0053124C">
        <w:rPr>
          <w:rFonts w:ascii="Arial" w:hAnsi="Arial" w:cs="Arial"/>
          <w:b/>
          <w:sz w:val="28"/>
          <w:szCs w:val="28"/>
          <w:u w:val="single"/>
        </w:rPr>
        <w:t xml:space="preserve">PORT FACILITY SECURITY PLAN </w:t>
      </w:r>
    </w:p>
    <w:p w:rsidR="00865FB4" w:rsidRPr="00DC2732" w:rsidRDefault="00792308" w:rsidP="0053124C">
      <w:pPr>
        <w:spacing w:after="0" w:line="36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195B" w:rsidRPr="00DC2732">
        <w:rPr>
          <w:b/>
          <w:sz w:val="28"/>
          <w:szCs w:val="28"/>
          <w:u w:val="single"/>
        </w:rPr>
        <w:t>M-I-SP-6</w:t>
      </w:r>
    </w:p>
    <w:p w:rsidR="00F23951" w:rsidRP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871"/>
      </w:tblGrid>
      <w:tr w:rsidR="00F23951" w:rsidRPr="00F23951" w:rsidTr="000F7B6C">
        <w:trPr>
          <w:trHeight w:val="74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F23951" w:rsidRPr="00F23951" w:rsidRDefault="00F23951" w:rsidP="00F23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951">
              <w:rPr>
                <w:rFonts w:ascii="Arial" w:hAnsi="Arial" w:cs="Arial"/>
                <w:b/>
                <w:sz w:val="24"/>
                <w:szCs w:val="24"/>
              </w:rPr>
              <w:t>Minimum Requirements</w:t>
            </w:r>
          </w:p>
          <w:p w:rsidR="00F23951" w:rsidRPr="00F23951" w:rsidRDefault="00F23951" w:rsidP="00F23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951">
              <w:rPr>
                <w:rFonts w:ascii="Arial" w:hAnsi="Arial" w:cs="Arial"/>
                <w:b/>
                <w:sz w:val="24"/>
                <w:szCs w:val="24"/>
              </w:rPr>
              <w:t>(ISPS Code, Part A 16.3)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  <w:shd w:val="clear" w:color="auto" w:fill="000000" w:themeFill="text1"/>
            <w:vAlign w:val="center"/>
          </w:tcPr>
          <w:p w:rsidR="00F23951" w:rsidRPr="00F23951" w:rsidRDefault="00F23951" w:rsidP="00F23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951">
              <w:rPr>
                <w:rFonts w:ascii="Arial" w:hAnsi="Arial" w:cs="Arial"/>
                <w:b/>
                <w:sz w:val="24"/>
                <w:szCs w:val="24"/>
              </w:rPr>
              <w:t>Recommended</w:t>
            </w:r>
          </w:p>
          <w:p w:rsidR="00F23951" w:rsidRPr="00F23951" w:rsidRDefault="00F23951" w:rsidP="00F23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951">
              <w:rPr>
                <w:rFonts w:ascii="Arial" w:hAnsi="Arial" w:cs="Arial"/>
                <w:b/>
                <w:sz w:val="24"/>
                <w:szCs w:val="24"/>
              </w:rPr>
              <w:t>(ISPS Code, Part B 16.8)</w:t>
            </w:r>
          </w:p>
        </w:tc>
      </w:tr>
      <w:tr w:rsidR="00F23951" w:rsidRPr="00F23951" w:rsidTr="000F7B6C">
        <w:trPr>
          <w:trHeight w:val="390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Measures to prevent weapons, dangerous substances or devices from entering the port facility or boarding a ship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The role and structure of the port facility’s security organization </w:t>
            </w:r>
          </w:p>
        </w:tc>
      </w:tr>
      <w:tr w:rsidR="00F23951" w:rsidRPr="00F23951" w:rsidTr="000F7B6C">
        <w:trPr>
          <w:trHeight w:val="391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Measures to prevent unauthorized access to the facility or ships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Duties, responsibilities and training requirements of all port facility security personnel </w:t>
            </w:r>
          </w:p>
        </w:tc>
      </w:tr>
      <w:tr w:rsidR="00F23951" w:rsidRPr="00F23951" w:rsidTr="000F7B6C">
        <w:trPr>
          <w:trHeight w:val="391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responding to security threats or breaches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The port facility security organization’s links with other national and local authorities with security roles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responding to Contracting Government security instructions for Sec. Level 3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Communications systems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evacuation in case of security threats or breaches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or safeguards to allow continuous communications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Duties of port facility security personnel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to protect security sensitive information (paper or electronic)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interfacing with ship security activities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to assess continuing effectiveness of security measures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periodic review of the plan and updating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to allow submission and assessment of reports on security breaches </w:t>
            </w:r>
          </w:p>
        </w:tc>
      </w:tr>
      <w:tr w:rsidR="00F23951" w:rsidRPr="00F23951" w:rsidTr="000F7B6C">
        <w:trPr>
          <w:trHeight w:val="141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reporting security incidents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related to cargo handling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Identification of the PFSO and their 24 hour </w:t>
            </w:r>
            <w:r w:rsidRPr="00F23951">
              <w:rPr>
                <w:rFonts w:ascii="Arial" w:hAnsi="Arial" w:cs="Arial"/>
                <w:sz w:val="24"/>
                <w:szCs w:val="24"/>
              </w:rPr>
              <w:lastRenderedPageBreak/>
              <w:t xml:space="preserve">contact information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lastRenderedPageBreak/>
              <w:t xml:space="preserve">Procedures covering ships’ stores delivery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lastRenderedPageBreak/>
              <w:t xml:space="preserve">Measures to ensure security of information in the plan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to maintain/update records of dangerous goods or substances </w:t>
            </w:r>
          </w:p>
        </w:tc>
      </w:tr>
      <w:tr w:rsidR="00F23951" w:rsidRPr="00F23951" w:rsidTr="000F7B6C">
        <w:trPr>
          <w:trHeight w:val="266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Measures to ensure security of cargo and cargo handling equipment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Means of alerting waterside patrols and specialist search teams </w:t>
            </w:r>
          </w:p>
        </w:tc>
      </w:tr>
      <w:tr w:rsidR="00F23951" w:rsidRPr="00F23951" w:rsidTr="000F7B6C">
        <w:trPr>
          <w:trHeight w:val="391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auditing the security plan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assisting ship security officers in confirming identities for those boarding ships </w:t>
            </w:r>
          </w:p>
        </w:tc>
      </w:tr>
      <w:tr w:rsidR="00F23951" w:rsidRPr="00F23951" w:rsidTr="000F7B6C">
        <w:trPr>
          <w:trHeight w:val="391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responding if a ship security alert is activated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facilitating shore leave for crewmembers and access by seafarer welfare organizations </w:t>
            </w:r>
          </w:p>
        </w:tc>
      </w:tr>
      <w:tr w:rsidR="00F23951" w:rsidRPr="00F23951" w:rsidTr="000F7B6C">
        <w:trPr>
          <w:trHeight w:val="391"/>
          <w:jc w:val="center"/>
        </w:trPr>
        <w:tc>
          <w:tcPr>
            <w:tcW w:w="4871" w:type="dxa"/>
            <w:tcBorders>
              <w:righ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951">
              <w:rPr>
                <w:rFonts w:ascii="Arial" w:hAnsi="Arial" w:cs="Arial"/>
                <w:sz w:val="24"/>
                <w:szCs w:val="24"/>
              </w:rPr>
              <w:t xml:space="preserve">Procedures for facilitating shore leave for crewmembers and access by seafarer welfare organizations </w:t>
            </w:r>
          </w:p>
        </w:tc>
        <w:tc>
          <w:tcPr>
            <w:tcW w:w="4871" w:type="dxa"/>
            <w:tcBorders>
              <w:left w:val="thinThickThinMediumGap" w:sz="24" w:space="0" w:color="auto"/>
            </w:tcBorders>
          </w:tcPr>
          <w:p w:rsidR="00F23951" w:rsidRPr="00F23951" w:rsidRDefault="00F23951" w:rsidP="00F2395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p w:rsid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p w:rsid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p w:rsid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p w:rsid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p w:rsid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p w:rsidR="00F23951" w:rsidRPr="00F23951" w:rsidRDefault="00F23951" w:rsidP="00F2395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23951" w:rsidRPr="00F239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72" w:rsidRDefault="00554E72" w:rsidP="007A3014">
      <w:pPr>
        <w:spacing w:after="0" w:line="240" w:lineRule="auto"/>
      </w:pPr>
      <w:r>
        <w:separator/>
      </w:r>
    </w:p>
  </w:endnote>
  <w:endnote w:type="continuationSeparator" w:id="0">
    <w:p w:rsidR="00554E72" w:rsidRDefault="00554E72" w:rsidP="007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00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3014" w:rsidRDefault="007A30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C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C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3014" w:rsidRDefault="007A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72" w:rsidRDefault="00554E72" w:rsidP="007A3014">
      <w:pPr>
        <w:spacing w:after="0" w:line="240" w:lineRule="auto"/>
      </w:pPr>
      <w:r>
        <w:separator/>
      </w:r>
    </w:p>
  </w:footnote>
  <w:footnote w:type="continuationSeparator" w:id="0">
    <w:p w:rsidR="00554E72" w:rsidRDefault="00554E72" w:rsidP="007A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14" w:rsidRPr="007A3014" w:rsidRDefault="007A3014" w:rsidP="007A3014">
    <w:pPr>
      <w:pStyle w:val="Header"/>
      <w:jc w:val="right"/>
      <w:rPr>
        <w:lang w:val="en-GB"/>
      </w:rPr>
    </w:pPr>
    <w:r w:rsidRPr="007A3014">
      <w:rPr>
        <w:lang w:val="en-GB"/>
      </w:rPr>
      <w:t>MARITIME ADMINISTRATION DEPARTMENT</w:t>
    </w:r>
  </w:p>
  <w:p w:rsidR="007A3014" w:rsidRPr="007A3014" w:rsidRDefault="007A3014" w:rsidP="007A3014">
    <w:pPr>
      <w:pStyle w:val="Header"/>
      <w:jc w:val="right"/>
    </w:pPr>
    <w:r w:rsidRPr="007A3014">
      <w:rPr>
        <w:lang w:val="en-GB"/>
      </w:rPr>
      <w:t>PORT SECURITY SECTION</w:t>
    </w:r>
  </w:p>
  <w:p w:rsidR="007A3014" w:rsidRDefault="007A3014" w:rsidP="007A301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51"/>
    <w:rsid w:val="000F7B6C"/>
    <w:rsid w:val="00137B00"/>
    <w:rsid w:val="00214CA6"/>
    <w:rsid w:val="0053124C"/>
    <w:rsid w:val="00554E72"/>
    <w:rsid w:val="00570DFE"/>
    <w:rsid w:val="006959AB"/>
    <w:rsid w:val="006E2996"/>
    <w:rsid w:val="00792308"/>
    <w:rsid w:val="007A3014"/>
    <w:rsid w:val="007E195B"/>
    <w:rsid w:val="00865FB4"/>
    <w:rsid w:val="0091054E"/>
    <w:rsid w:val="00C37CC0"/>
    <w:rsid w:val="00C6607A"/>
    <w:rsid w:val="00DC2732"/>
    <w:rsid w:val="00F23951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95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14"/>
  </w:style>
  <w:style w:type="paragraph" w:styleId="Footer">
    <w:name w:val="footer"/>
    <w:basedOn w:val="Normal"/>
    <w:link w:val="FooterChar"/>
    <w:uiPriority w:val="99"/>
    <w:unhideWhenUsed/>
    <w:rsid w:val="007A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14"/>
  </w:style>
  <w:style w:type="paragraph" w:styleId="BalloonText">
    <w:name w:val="Balloon Text"/>
    <w:basedOn w:val="Normal"/>
    <w:link w:val="BalloonTextChar"/>
    <w:uiPriority w:val="99"/>
    <w:semiHidden/>
    <w:unhideWhenUsed/>
    <w:rsid w:val="007A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951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14"/>
  </w:style>
  <w:style w:type="paragraph" w:styleId="Footer">
    <w:name w:val="footer"/>
    <w:basedOn w:val="Normal"/>
    <w:link w:val="FooterChar"/>
    <w:uiPriority w:val="99"/>
    <w:unhideWhenUsed/>
    <w:rsid w:val="007A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14"/>
  </w:style>
  <w:style w:type="paragraph" w:styleId="BalloonText">
    <w:name w:val="Balloon Text"/>
    <w:basedOn w:val="Normal"/>
    <w:link w:val="BalloonTextChar"/>
    <w:uiPriority w:val="99"/>
    <w:semiHidden/>
    <w:unhideWhenUsed/>
    <w:rsid w:val="007A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MARAD</cp:lastModifiedBy>
  <cp:revision>9</cp:revision>
  <dcterms:created xsi:type="dcterms:W3CDTF">2017-06-01T18:23:00Z</dcterms:created>
  <dcterms:modified xsi:type="dcterms:W3CDTF">2018-01-15T19:08:00Z</dcterms:modified>
</cp:coreProperties>
</file>